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08F99133" w:rsidR="00B454C9" w:rsidRPr="0058362D" w:rsidRDefault="00B454C9" w:rsidP="00B454C9">
      <w:pPr>
        <w:pStyle w:val="ConsPlusNormal"/>
        <w:jc w:val="center"/>
      </w:pPr>
      <w:r>
        <w:t xml:space="preserve">по состоянию на </w:t>
      </w:r>
      <w:r w:rsidR="00515685" w:rsidRPr="000A6980">
        <w:t>29</w:t>
      </w:r>
      <w:r>
        <w:t>.</w:t>
      </w:r>
      <w:r w:rsidR="00787D40" w:rsidRPr="00787D40">
        <w:t>0</w:t>
      </w:r>
      <w:r w:rsidR="001D09F1" w:rsidRPr="001D09F1">
        <w:t>9</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w:t>
            </w:r>
            <w:bookmarkStart w:id="0" w:name="_GoBack"/>
            <w:bookmarkEnd w:id="0"/>
            <w:r>
              <w:t>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C0C482D"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DA6E08">
              <w:t>0</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67FBCF3" w:rsidR="00B454C9" w:rsidRPr="005D4AE0" w:rsidRDefault="00026870" w:rsidP="00C53CE8">
            <w:pPr>
              <w:pStyle w:val="ConsPlusNormal"/>
              <w:jc w:val="center"/>
              <w:rPr>
                <w:lang w:val="en-US"/>
              </w:rPr>
            </w:pPr>
            <w:r>
              <w:rPr>
                <w:lang w:val="en-US"/>
              </w:rPr>
              <w:t>3</w:t>
            </w:r>
            <w:r w:rsidR="00AF448D">
              <w:rPr>
                <w:lang w:val="en-US"/>
              </w:rPr>
              <w:t>4</w:t>
            </w:r>
            <w:r w:rsidR="00B454C9">
              <w:t>,</w:t>
            </w:r>
            <w:r w:rsidR="00DA6E08">
              <w:t>5</w:t>
            </w:r>
            <w:r w:rsidR="00AF448D">
              <w:rPr>
                <w:lang w:val="en-US"/>
              </w:rPr>
              <w:t>3</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139060A6" w:rsidR="00B454C9" w:rsidRPr="005D4AE0" w:rsidRDefault="009E59D2" w:rsidP="00C53CE8">
            <w:pPr>
              <w:pStyle w:val="ConsPlusNormal"/>
              <w:jc w:val="center"/>
              <w:rPr>
                <w:lang w:val="en-US"/>
              </w:rPr>
            </w:pPr>
            <w:r>
              <w:lastRenderedPageBreak/>
              <w:t>1</w:t>
            </w:r>
            <w:r w:rsidR="00AF448D">
              <w:rPr>
                <w:lang w:val="en-US"/>
              </w:rPr>
              <w:t>4</w:t>
            </w:r>
            <w:r w:rsidR="00B454C9">
              <w:t>,</w:t>
            </w:r>
            <w:r w:rsidR="00DA6E08">
              <w:t>58</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226528B9" w:rsidR="00B454C9" w:rsidRPr="00DA6E08" w:rsidRDefault="00AF448D" w:rsidP="00C53CE8">
            <w:pPr>
              <w:pStyle w:val="ConsPlusNormal"/>
              <w:jc w:val="center"/>
            </w:pPr>
            <w:r>
              <w:rPr>
                <w:lang w:val="en-US"/>
              </w:rPr>
              <w:t>9</w:t>
            </w:r>
            <w:r w:rsidR="00B454C9">
              <w:t>,</w:t>
            </w:r>
            <w:r>
              <w:rPr>
                <w:lang w:val="en-US"/>
              </w:rPr>
              <w:t>4</w:t>
            </w:r>
            <w:r w:rsidR="00DA6E08">
              <w:t>3</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024E1E2E" w:rsidR="00B454C9" w:rsidRPr="00DA6E08" w:rsidRDefault="00A873AE" w:rsidP="00C53CE8">
            <w:pPr>
              <w:pStyle w:val="ConsPlusNormal"/>
              <w:jc w:val="center"/>
            </w:pPr>
            <w:r>
              <w:t>7</w:t>
            </w:r>
            <w:r w:rsidR="00B454C9">
              <w:t>,</w:t>
            </w:r>
            <w:r w:rsidR="00AF448D">
              <w:rPr>
                <w:lang w:val="en-US"/>
              </w:rPr>
              <w:t>6</w:t>
            </w:r>
            <w:r w:rsidR="00DA6E08">
              <w:t>4</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66449C7F" w:rsidR="00801E12" w:rsidRPr="00F978EF" w:rsidRDefault="00CB5B63" w:rsidP="00C53CE8">
            <w:pPr>
              <w:pStyle w:val="ConsPlusNormal"/>
              <w:jc w:val="center"/>
              <w:rPr>
                <w:lang w:val="en-US"/>
              </w:rPr>
            </w:pPr>
            <w:r>
              <w:t>7</w:t>
            </w:r>
            <w:r w:rsidR="00801E12">
              <w:t>,</w:t>
            </w:r>
            <w:r w:rsidR="004D4967">
              <w:rPr>
                <w:lang w:val="en-US"/>
              </w:rPr>
              <w:t>51</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9E69119"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0A6980" w:rsidRPr="000A6980">
              <w:t>2</w:t>
            </w:r>
            <w:r w:rsidR="000A6980" w:rsidRPr="009237FF">
              <w:t>9</w:t>
            </w:r>
            <w:r>
              <w:t>.</w:t>
            </w:r>
            <w:r w:rsidR="00787D40" w:rsidRPr="00787D40">
              <w:t>0</w:t>
            </w:r>
            <w:r w:rsidR="001D09F1" w:rsidRPr="001D09F1">
              <w:t>9</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9F51616" w:rsidR="00966032" w:rsidRPr="00D66B42" w:rsidRDefault="00B85BEB" w:rsidP="005E535E">
            <w:pPr>
              <w:pStyle w:val="ConsPlusNormal"/>
              <w:jc w:val="center"/>
            </w:pPr>
            <w:r>
              <w:rPr>
                <w:lang w:val="en-US"/>
              </w:rPr>
              <w:t>-0</w:t>
            </w:r>
            <w:r w:rsidR="00CB7B58">
              <w:rPr>
                <w:lang w:val="en-US"/>
              </w:rPr>
              <w:t>,</w:t>
            </w:r>
            <w:r w:rsidR="00C97C37">
              <w:t>24</w:t>
            </w:r>
          </w:p>
        </w:tc>
        <w:tc>
          <w:tcPr>
            <w:tcW w:w="1134" w:type="dxa"/>
          </w:tcPr>
          <w:p w14:paraId="402A9C4E" w14:textId="2010E248" w:rsidR="00966032" w:rsidRPr="009237FF" w:rsidRDefault="009237FF" w:rsidP="005E535E">
            <w:pPr>
              <w:pStyle w:val="ConsPlusNormal"/>
              <w:jc w:val="center"/>
              <w:rPr>
                <w:lang w:val="en-US"/>
              </w:rPr>
            </w:pPr>
            <w:r>
              <w:rPr>
                <w:lang w:val="en-US"/>
              </w:rPr>
              <w:t>-</w:t>
            </w:r>
            <w:r w:rsidR="009D038E">
              <w:t>1</w:t>
            </w:r>
            <w:r>
              <w:rPr>
                <w:lang w:val="en-US"/>
              </w:rPr>
              <w:t>,</w:t>
            </w:r>
            <w:r w:rsidR="009D038E">
              <w:t>11</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E4E8BDE" w:rsidR="009237FF" w:rsidRPr="00DE0D10" w:rsidRDefault="009237FF" w:rsidP="009237FF">
            <w:pPr>
              <w:pStyle w:val="ConsPlusNormal"/>
              <w:jc w:val="center"/>
              <w:rPr>
                <w:lang w:val="en-US"/>
              </w:rPr>
            </w:pPr>
            <w:r>
              <w:t>-</w:t>
            </w:r>
            <w:r>
              <w:rPr>
                <w:lang w:val="en-US"/>
              </w:rPr>
              <w:t>0</w:t>
            </w:r>
            <w:r>
              <w:t>,45</w:t>
            </w:r>
          </w:p>
        </w:tc>
        <w:tc>
          <w:tcPr>
            <w:tcW w:w="1134" w:type="dxa"/>
          </w:tcPr>
          <w:p w14:paraId="31CFAB8C" w14:textId="51A3D53B" w:rsidR="009237FF" w:rsidRPr="000B1B3B" w:rsidRDefault="009237FF" w:rsidP="009237FF">
            <w:pPr>
              <w:pStyle w:val="ConsPlusNormal"/>
              <w:jc w:val="center"/>
              <w:rPr>
                <w:lang w:val="en-US"/>
              </w:rPr>
            </w:pPr>
            <w:r w:rsidRPr="00613F85">
              <w:rPr>
                <w:lang w:val="en-US"/>
              </w:rPr>
              <w:t>-</w:t>
            </w:r>
            <w:r w:rsidR="009D038E">
              <w:t>2</w:t>
            </w:r>
            <w:r w:rsidRPr="00613F85">
              <w:rPr>
                <w:lang w:val="en-US"/>
              </w:rPr>
              <w:t>,</w:t>
            </w:r>
            <w:r w:rsidR="009D038E">
              <w:t>2</w:t>
            </w:r>
            <w:r w:rsidRPr="00613F85">
              <w:rPr>
                <w:lang w:val="en-US"/>
              </w:rPr>
              <w:t>4</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5ABE54B2" w:rsidR="009237FF" w:rsidRPr="00B85BEB" w:rsidRDefault="009237FF" w:rsidP="009237FF">
            <w:pPr>
              <w:pStyle w:val="ConsPlusNormal"/>
              <w:jc w:val="center"/>
              <w:rPr>
                <w:lang w:val="en-US"/>
              </w:rPr>
            </w:pPr>
            <w:r>
              <w:t>-</w:t>
            </w:r>
            <w:r>
              <w:rPr>
                <w:lang w:val="en-US"/>
              </w:rPr>
              <w:t>0</w:t>
            </w:r>
            <w:r>
              <w:t>,56</w:t>
            </w:r>
          </w:p>
        </w:tc>
        <w:tc>
          <w:tcPr>
            <w:tcW w:w="1134" w:type="dxa"/>
          </w:tcPr>
          <w:p w14:paraId="7A9CB76B" w14:textId="5C843C6A" w:rsidR="009237FF" w:rsidRPr="00FA3816" w:rsidRDefault="009237FF" w:rsidP="009237FF">
            <w:pPr>
              <w:pStyle w:val="ConsPlusNormal"/>
              <w:jc w:val="center"/>
              <w:rPr>
                <w:lang w:val="en-US"/>
              </w:rPr>
            </w:pPr>
            <w:r w:rsidRPr="00613F85">
              <w:rPr>
                <w:lang w:val="en-US"/>
              </w:rPr>
              <w:t>-</w:t>
            </w:r>
            <w:r w:rsidR="009D038E">
              <w:t>3</w:t>
            </w:r>
            <w:r w:rsidRPr="00613F85">
              <w:rPr>
                <w:lang w:val="en-US"/>
              </w:rPr>
              <w:t>,</w:t>
            </w:r>
            <w:r w:rsidR="009D038E">
              <w:t>44</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05C342D0" w:rsidR="009237FF" w:rsidRPr="00D832E3" w:rsidRDefault="009237FF" w:rsidP="009237FF">
            <w:pPr>
              <w:pStyle w:val="ConsPlusNormal"/>
              <w:jc w:val="center"/>
              <w:rPr>
                <w:lang w:val="en-US"/>
              </w:rPr>
            </w:pPr>
            <w:r>
              <w:t>-0,08</w:t>
            </w:r>
          </w:p>
        </w:tc>
        <w:tc>
          <w:tcPr>
            <w:tcW w:w="1134" w:type="dxa"/>
          </w:tcPr>
          <w:p w14:paraId="67B55AB7" w14:textId="448B2239" w:rsidR="009237FF" w:rsidRPr="00AF4552" w:rsidRDefault="009237FF" w:rsidP="009237FF">
            <w:pPr>
              <w:pStyle w:val="ConsPlusNormal"/>
              <w:jc w:val="center"/>
            </w:pPr>
            <w:r w:rsidRPr="00613F85">
              <w:rPr>
                <w:lang w:val="en-US"/>
              </w:rPr>
              <w:t>-</w:t>
            </w:r>
            <w:r w:rsidR="009D038E">
              <w:t>6</w:t>
            </w:r>
            <w:r w:rsidRPr="00613F85">
              <w:rPr>
                <w:lang w:val="en-US"/>
              </w:rPr>
              <w:t>,</w:t>
            </w:r>
            <w:r>
              <w:rPr>
                <w:lang w:val="en-US"/>
              </w:rPr>
              <w:t>08</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72A5F7E9" w:rsidR="009237FF" w:rsidRPr="00AA095E" w:rsidRDefault="009237FF" w:rsidP="009237FF">
            <w:pPr>
              <w:pStyle w:val="ConsPlusNormal"/>
              <w:jc w:val="center"/>
            </w:pPr>
            <w:r>
              <w:rPr>
                <w:lang w:val="en-US"/>
              </w:rPr>
              <w:t>-11</w:t>
            </w:r>
            <w:r>
              <w:t>,52</w:t>
            </w:r>
          </w:p>
        </w:tc>
        <w:tc>
          <w:tcPr>
            <w:tcW w:w="1134" w:type="dxa"/>
          </w:tcPr>
          <w:p w14:paraId="59964209" w14:textId="41F5EA52" w:rsidR="009237FF" w:rsidRPr="00CB7B58" w:rsidRDefault="009237FF" w:rsidP="009237FF">
            <w:pPr>
              <w:pStyle w:val="ConsPlusNormal"/>
              <w:jc w:val="center"/>
              <w:rPr>
                <w:lang w:val="en-US"/>
              </w:rPr>
            </w:pPr>
            <w:r w:rsidRPr="00613F85">
              <w:rPr>
                <w:lang w:val="en-US"/>
              </w:rPr>
              <w:t>-</w:t>
            </w:r>
            <w:r w:rsidR="009D038E">
              <w:t>40</w:t>
            </w:r>
            <w:r w:rsidRPr="00613F85">
              <w:rPr>
                <w:lang w:val="en-US"/>
              </w:rPr>
              <w:t>,</w:t>
            </w:r>
            <w:r w:rsidR="009D038E">
              <w:t>93</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74E84D01" w:rsidR="009237FF" w:rsidRPr="005D4AE0" w:rsidRDefault="009237FF" w:rsidP="009237FF">
            <w:pPr>
              <w:pStyle w:val="ConsPlusNormal"/>
              <w:jc w:val="center"/>
              <w:rPr>
                <w:lang w:val="en-US"/>
              </w:rPr>
            </w:pPr>
            <w:r>
              <w:rPr>
                <w:lang w:val="en-US"/>
              </w:rPr>
              <w:t>-2</w:t>
            </w:r>
            <w:r>
              <w:t>6,01</w:t>
            </w:r>
          </w:p>
        </w:tc>
        <w:tc>
          <w:tcPr>
            <w:tcW w:w="1134" w:type="dxa"/>
          </w:tcPr>
          <w:p w14:paraId="095C14B4" w14:textId="54464794" w:rsidR="009237FF" w:rsidRPr="00FF2693" w:rsidRDefault="009237FF" w:rsidP="009237FF">
            <w:pPr>
              <w:pStyle w:val="ConsPlusNormal"/>
              <w:jc w:val="center"/>
              <w:rPr>
                <w:lang w:val="en-US"/>
              </w:rPr>
            </w:pPr>
            <w:r w:rsidRPr="00613F85">
              <w:rPr>
                <w:lang w:val="en-US"/>
              </w:rPr>
              <w:t>-</w:t>
            </w:r>
            <w:r>
              <w:rPr>
                <w:lang w:val="en-US"/>
              </w:rPr>
              <w:t>6</w:t>
            </w:r>
            <w:r w:rsidR="009D038E">
              <w:t>5</w:t>
            </w:r>
            <w:r w:rsidRPr="00613F85">
              <w:rPr>
                <w:lang w:val="en-US"/>
              </w:rPr>
              <w:t>,</w:t>
            </w:r>
            <w:r w:rsidR="009D038E">
              <w:t>53</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3FF21CE"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C97C37">
              <w:t>1</w:t>
            </w:r>
            <w:r>
              <w:t>,</w:t>
            </w:r>
            <w:r w:rsidR="00C97C37">
              <w:t>47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3A167CC2"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C97C37">
              <w:t>2</w:t>
            </w:r>
            <w:r w:rsidR="00A309C5" w:rsidRPr="00A309C5">
              <w:t>2</w:t>
            </w:r>
            <w:r w:rsidR="00C97C37">
              <w:t>1</w:t>
            </w:r>
            <w:r w:rsidR="003360F4" w:rsidRPr="003360F4">
              <w:t xml:space="preserve"> </w:t>
            </w:r>
            <w:r w:rsidR="00A309C5" w:rsidRPr="00A309C5">
              <w:t>7</w:t>
            </w:r>
            <w:r w:rsidR="00C97C37">
              <w:t>08</w:t>
            </w:r>
            <w:r w:rsidR="003360F4" w:rsidRPr="003360F4">
              <w:t>,</w:t>
            </w:r>
            <w:r w:rsidR="00A309C5" w:rsidRPr="00A309C5">
              <w:t>0</w:t>
            </w:r>
            <w:r w:rsidR="00C97C37">
              <w:t xml:space="preserve">4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A63E1"/>
    <w:rsid w:val="009C118C"/>
    <w:rsid w:val="009D038E"/>
    <w:rsid w:val="009E28CA"/>
    <w:rsid w:val="009E59D2"/>
    <w:rsid w:val="009F2DD6"/>
    <w:rsid w:val="009F4818"/>
    <w:rsid w:val="00A309C5"/>
    <w:rsid w:val="00A52B23"/>
    <w:rsid w:val="00A873AE"/>
    <w:rsid w:val="00AA095E"/>
    <w:rsid w:val="00AA3BA8"/>
    <w:rsid w:val="00AF448D"/>
    <w:rsid w:val="00AF4552"/>
    <w:rsid w:val="00AF6B82"/>
    <w:rsid w:val="00B112A3"/>
    <w:rsid w:val="00B123EC"/>
    <w:rsid w:val="00B228CA"/>
    <w:rsid w:val="00B454C9"/>
    <w:rsid w:val="00B51953"/>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cp:revision>
  <dcterms:created xsi:type="dcterms:W3CDTF">2023-11-10T16:19:00Z</dcterms:created>
  <dcterms:modified xsi:type="dcterms:W3CDTF">2023-11-10T16:19:00Z</dcterms:modified>
</cp:coreProperties>
</file>